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00077"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Despre Adrem</w:t>
      </w:r>
    </w:p>
    <w:p w14:paraId="37DEA9C0"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Suntem parteneri de soluții și servicii dedicate domeniului energetic.</w:t>
      </w:r>
    </w:p>
    <w:p w14:paraId="74230064" w14:textId="77777777" w:rsidR="00E72449"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 xml:space="preserve">Grupul Adrem sprijină tranziția spre energia din surse regenerabile, prin intermediul a 3 companii – Adrem Invest, Adrem Engineering, Adrem Link –  fiecare specializată pe segmente specifice de piață. Cu peste 1.600 de angajați, acoperire națională și parteneriate solide cu principalii actori din lanțul de valoare în industria energetică, Adrem asigură stabilitate, eficiență și siguranță în implementarea </w:t>
      </w:r>
      <w:proofErr w:type="spellStart"/>
      <w:r w:rsidRPr="00544BA4">
        <w:rPr>
          <w:rFonts w:ascii="Montserrat" w:hAnsi="Montserrat" w:cs="Arial"/>
          <w:bCs/>
          <w:sz w:val="20"/>
          <w:szCs w:val="20"/>
          <w:lang w:val="ro-RO"/>
        </w:rPr>
        <w:t>proiectelor.Oferim</w:t>
      </w:r>
      <w:proofErr w:type="spellEnd"/>
      <w:r w:rsidRPr="00544BA4">
        <w:rPr>
          <w:rFonts w:ascii="Montserrat" w:hAnsi="Montserrat" w:cs="Arial"/>
          <w:bCs/>
          <w:sz w:val="20"/>
          <w:szCs w:val="20"/>
          <w:lang w:val="ro-RO"/>
        </w:rPr>
        <w:t xml:space="preserve"> partenerilor soluții integrate, indiferent de anvergura proiectelor, acoperind o gamă largă de soluții și servicii, de la contracte EPC, la proiecte de eficiență energetică B2C.</w:t>
      </w:r>
    </w:p>
    <w:p w14:paraId="7DD2EDC4"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Adrem Invest</w:t>
      </w:r>
    </w:p>
    <w:p w14:paraId="1FF878B5" w14:textId="77777777" w:rsidR="00E72449"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Este specializată în lucrări de dezvoltare, modernizare, digitalizare și mentenanță ale rețelelor electrice și oferă servicii complete pentru rețelele de utilități, inclusiv administrarea grupurilor de măsură și managementul contorizării inteligente.</w:t>
      </w:r>
    </w:p>
    <w:p w14:paraId="1A3B7F03"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Adrem Engineering</w:t>
      </w:r>
    </w:p>
    <w:p w14:paraId="778465F6" w14:textId="77777777" w:rsidR="00E72449"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 xml:space="preserve">Sprijină digitalizarea infrastructurii energetice românești, fiind lider pe piața locală de automatizări SCADA. Suntem contractori EPC și pionieri în implementarea soluțiilor de Enterprise </w:t>
      </w:r>
      <w:proofErr w:type="spellStart"/>
      <w:r w:rsidRPr="00544BA4">
        <w:rPr>
          <w:rFonts w:ascii="Montserrat" w:hAnsi="Montserrat" w:cs="Arial"/>
          <w:bCs/>
          <w:sz w:val="20"/>
          <w:szCs w:val="20"/>
          <w:lang w:val="ro-RO"/>
        </w:rPr>
        <w:t>Asset</w:t>
      </w:r>
      <w:proofErr w:type="spellEnd"/>
      <w:r w:rsidRPr="00544BA4">
        <w:rPr>
          <w:rFonts w:ascii="Montserrat" w:hAnsi="Montserrat" w:cs="Arial"/>
          <w:bCs/>
          <w:sz w:val="20"/>
          <w:szCs w:val="20"/>
          <w:lang w:val="ro-RO"/>
        </w:rPr>
        <w:t xml:space="preserve"> Performance Management &amp; Investment </w:t>
      </w:r>
      <w:proofErr w:type="spellStart"/>
      <w:r w:rsidRPr="00544BA4">
        <w:rPr>
          <w:rFonts w:ascii="Montserrat" w:hAnsi="Montserrat" w:cs="Arial"/>
          <w:bCs/>
          <w:sz w:val="20"/>
          <w:szCs w:val="20"/>
          <w:lang w:val="ro-RO"/>
        </w:rPr>
        <w:t>Planning</w:t>
      </w:r>
      <w:proofErr w:type="spellEnd"/>
      <w:r w:rsidRPr="00544BA4">
        <w:rPr>
          <w:rFonts w:ascii="Montserrat" w:hAnsi="Montserrat" w:cs="Arial"/>
          <w:bCs/>
          <w:sz w:val="20"/>
          <w:szCs w:val="20"/>
          <w:lang w:val="ro-RO"/>
        </w:rPr>
        <w:t xml:space="preserve"> (EAPM/AIP) pentru operatorii de sisteme de distribuție din România.</w:t>
      </w:r>
    </w:p>
    <w:p w14:paraId="2D488056"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Adrem Link</w:t>
      </w:r>
    </w:p>
    <w:p w14:paraId="5170215B" w14:textId="77777777" w:rsidR="00E72449"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Își folosește experiența pentru a dezvolta și oferi soluții de eficientizare și consum inteligent, dedicate ambelor segmente B2B și B2C - soluții la cheie pentru management energetic, eficiență energetică, sisteme fotovoltaice, soluții de stocare, pompe de căldură, stații de încărcare ale autovehiculelor electrice.</w:t>
      </w:r>
    </w:p>
    <w:p w14:paraId="55BC9026" w14:textId="77777777" w:rsidR="00E72449" w:rsidRPr="00544BA4" w:rsidRDefault="00E72449" w:rsidP="00E72449">
      <w:pPr>
        <w:spacing w:line="360" w:lineRule="auto"/>
        <w:ind w:left="-1985"/>
        <w:rPr>
          <w:rFonts w:ascii="Montserrat" w:hAnsi="Montserrat" w:cs="Arial"/>
          <w:bCs/>
          <w:sz w:val="20"/>
          <w:szCs w:val="20"/>
          <w:lang w:val="ro-RO"/>
        </w:rPr>
      </w:pPr>
    </w:p>
    <w:p w14:paraId="3DF2F7D1"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Grup antreprenorial românesc, din 1992</w:t>
      </w:r>
    </w:p>
    <w:p w14:paraId="2D19E9FD" w14:textId="77777777" w:rsidR="00E72449"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 xml:space="preserve">Adrem a început ca o afacere de familie cu 100% capital românesc, în urmă cu 34 de ani. De atunci, am construit relații durabile cu peste 6.200 de parteneri locali, un portofoliu extins de </w:t>
      </w:r>
      <w:r w:rsidRPr="00544BA4">
        <w:rPr>
          <w:rFonts w:ascii="Montserrat" w:hAnsi="Montserrat" w:cs="Arial"/>
          <w:bCs/>
          <w:sz w:val="20"/>
          <w:szCs w:val="20"/>
          <w:lang w:val="ro-RO"/>
        </w:rPr>
        <w:lastRenderedPageBreak/>
        <w:t>soluții și servicii, competențe solide în infrastructura energetică, automatizare, digitalizare, precum și proiecte complexe de EPC și de eficiență energetică pentru clienți B2C.</w:t>
      </w:r>
    </w:p>
    <w:p w14:paraId="56325950" w14:textId="77777777" w:rsidR="00E72449" w:rsidRPr="00544BA4" w:rsidRDefault="00E72449" w:rsidP="00E72449">
      <w:pPr>
        <w:spacing w:line="360" w:lineRule="auto"/>
        <w:ind w:left="-1985"/>
        <w:rPr>
          <w:rFonts w:ascii="Montserrat" w:hAnsi="Montserrat" w:cs="Arial"/>
          <w:bCs/>
          <w:sz w:val="20"/>
          <w:szCs w:val="20"/>
          <w:lang w:val="ro-RO"/>
        </w:rPr>
      </w:pPr>
    </w:p>
    <w:p w14:paraId="64993A10"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Unul din cele mai mari grupuri private de servicii energetice.</w:t>
      </w:r>
    </w:p>
    <w:p w14:paraId="65555625" w14:textId="77777777" w:rsidR="00E72449"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Cu peste 1.600 de angajați, acoperire națională și colaborări de succes cu toți actorii din sectorul energetic, de la consumatori finali, la producători de energie, Adrem asigură stabilitate și siguranță în sectorul energetic.</w:t>
      </w:r>
    </w:p>
    <w:p w14:paraId="15D6BD95" w14:textId="77777777" w:rsidR="00E72449" w:rsidRPr="00544BA4" w:rsidRDefault="00E72449" w:rsidP="00E72449">
      <w:pPr>
        <w:spacing w:line="360" w:lineRule="auto"/>
        <w:ind w:left="-1985"/>
        <w:rPr>
          <w:rFonts w:ascii="Montserrat" w:hAnsi="Montserrat" w:cs="Arial"/>
          <w:bCs/>
          <w:sz w:val="20"/>
          <w:szCs w:val="20"/>
          <w:lang w:val="ro-RO"/>
        </w:rPr>
      </w:pPr>
    </w:p>
    <w:p w14:paraId="6A33C56F" w14:textId="77777777" w:rsidR="00E72449" w:rsidRPr="00544BA4" w:rsidRDefault="00E72449" w:rsidP="00E72449">
      <w:pPr>
        <w:spacing w:line="360" w:lineRule="auto"/>
        <w:ind w:left="-1985"/>
        <w:rPr>
          <w:rFonts w:ascii="Montserrat" w:hAnsi="Montserrat" w:cs="Arial"/>
          <w:b/>
          <w:sz w:val="20"/>
          <w:szCs w:val="20"/>
          <w:lang w:val="ro-RO"/>
        </w:rPr>
      </w:pPr>
      <w:r w:rsidRPr="00544BA4">
        <w:rPr>
          <w:rFonts w:ascii="Montserrat" w:hAnsi="Montserrat" w:cs="Arial"/>
          <w:b/>
          <w:sz w:val="20"/>
          <w:szCs w:val="20"/>
          <w:lang w:val="ro-RO"/>
        </w:rPr>
        <w:t>Peste 50 de competențe. Portofoliu complet de servicii energetice</w:t>
      </w:r>
    </w:p>
    <w:p w14:paraId="4B3EA30E" w14:textId="5F2A1807" w:rsidR="00F61E10" w:rsidRPr="00544BA4" w:rsidRDefault="00E72449" w:rsidP="00E72449">
      <w:pPr>
        <w:spacing w:line="360" w:lineRule="auto"/>
        <w:ind w:left="-1985"/>
        <w:rPr>
          <w:rFonts w:ascii="Montserrat" w:hAnsi="Montserrat" w:cs="Arial"/>
          <w:bCs/>
          <w:sz w:val="20"/>
          <w:szCs w:val="20"/>
          <w:lang w:val="ro-RO"/>
        </w:rPr>
      </w:pPr>
      <w:r w:rsidRPr="00544BA4">
        <w:rPr>
          <w:rFonts w:ascii="Montserrat" w:hAnsi="Montserrat" w:cs="Arial"/>
          <w:bCs/>
          <w:sz w:val="20"/>
          <w:szCs w:val="20"/>
          <w:lang w:val="ro-RO"/>
        </w:rPr>
        <w:t>Oferim clienților și partenerilor noștri soluții integrate, indiferent de anvergura proiectelor. Acoperim o gamă largă de soluții și servicii, de la proiecte complexe de EPC pentru clienți B2B, la proiecte de eficiență energetică.</w:t>
      </w:r>
      <w:r w:rsidR="00F61E10" w:rsidRPr="00544BA4">
        <w:rPr>
          <w:rFonts w:ascii="Montserrat" w:hAnsi="Montserrat" w:cs="Arial"/>
          <w:bCs/>
          <w:sz w:val="20"/>
          <w:szCs w:val="20"/>
          <w:lang w:val="ro-RO"/>
        </w:rPr>
        <w:br/>
      </w:r>
    </w:p>
    <w:p w14:paraId="25E1BF5E" w14:textId="07F7DF50" w:rsidR="0021529C" w:rsidRPr="00B7682E" w:rsidRDefault="0021529C" w:rsidP="00F61E10">
      <w:pPr>
        <w:ind w:left="-1560"/>
        <w:jc w:val="both"/>
        <w:rPr>
          <w:rFonts w:ascii="Arial" w:hAnsi="Arial" w:cs="Arial"/>
          <w:b/>
          <w:sz w:val="32"/>
          <w:szCs w:val="32"/>
        </w:rPr>
      </w:pPr>
    </w:p>
    <w:p w14:paraId="254DB7C6" w14:textId="03A59674" w:rsidR="00FB49AC" w:rsidRPr="00B7682E" w:rsidRDefault="00FB49AC" w:rsidP="00E71819">
      <w:pPr>
        <w:jc w:val="both"/>
        <w:rPr>
          <w:rFonts w:ascii="Arial" w:hAnsi="Arial" w:cs="Arial"/>
          <w:color w:val="365F91" w:themeColor="accent1" w:themeShade="BF"/>
          <w:sz w:val="24"/>
          <w:szCs w:val="24"/>
        </w:rPr>
      </w:pPr>
    </w:p>
    <w:p w14:paraId="35A07832" w14:textId="7F087DBD" w:rsidR="003275EC" w:rsidRPr="00B7682E" w:rsidRDefault="003275EC" w:rsidP="00E71819">
      <w:pPr>
        <w:jc w:val="both"/>
        <w:rPr>
          <w:rFonts w:ascii="Arial" w:hAnsi="Arial" w:cs="Arial"/>
          <w:color w:val="365F91" w:themeColor="accent1" w:themeShade="BF"/>
          <w:sz w:val="24"/>
          <w:szCs w:val="24"/>
        </w:rPr>
      </w:pPr>
    </w:p>
    <w:p w14:paraId="2DD2616D" w14:textId="3D4A8DBC" w:rsidR="00CB377B" w:rsidRPr="00B7682E" w:rsidRDefault="00CB377B" w:rsidP="00E71819">
      <w:pPr>
        <w:jc w:val="both"/>
        <w:rPr>
          <w:rFonts w:ascii="Arial" w:hAnsi="Arial" w:cs="Arial"/>
          <w:color w:val="365F91" w:themeColor="accent1" w:themeShade="BF"/>
          <w:sz w:val="24"/>
          <w:szCs w:val="24"/>
        </w:rPr>
      </w:pPr>
    </w:p>
    <w:p w14:paraId="7AF06FF4" w14:textId="3D2179E4" w:rsidR="00CB377B" w:rsidRPr="00B7682E" w:rsidRDefault="00CB377B" w:rsidP="00E71819">
      <w:pPr>
        <w:jc w:val="both"/>
        <w:rPr>
          <w:rFonts w:ascii="Arial" w:hAnsi="Arial" w:cs="Arial"/>
          <w:color w:val="365F91" w:themeColor="accent1" w:themeShade="BF"/>
          <w:sz w:val="24"/>
          <w:szCs w:val="24"/>
        </w:rPr>
      </w:pPr>
    </w:p>
    <w:p w14:paraId="7503F047" w14:textId="4D03D076" w:rsidR="00CB377B" w:rsidRPr="00B7682E" w:rsidRDefault="00CB377B" w:rsidP="00E71819">
      <w:pPr>
        <w:jc w:val="both"/>
        <w:rPr>
          <w:rFonts w:ascii="Arial" w:hAnsi="Arial" w:cs="Arial"/>
          <w:color w:val="365F91" w:themeColor="accent1" w:themeShade="BF"/>
          <w:sz w:val="24"/>
          <w:szCs w:val="24"/>
        </w:rPr>
      </w:pPr>
    </w:p>
    <w:sectPr w:rsidR="00CB377B" w:rsidRPr="00B7682E" w:rsidSect="000907B3">
      <w:headerReference w:type="even" r:id="rId7"/>
      <w:headerReference w:type="default" r:id="rId8"/>
      <w:footerReference w:type="default" r:id="rId9"/>
      <w:pgSz w:w="11900" w:h="16840"/>
      <w:pgMar w:top="2665" w:right="1080" w:bottom="1080" w:left="3345"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87589" w14:textId="77777777" w:rsidR="00991AE0" w:rsidRDefault="00991AE0" w:rsidP="00994E18">
      <w:r>
        <w:separator/>
      </w:r>
    </w:p>
  </w:endnote>
  <w:endnote w:type="continuationSeparator" w:id="0">
    <w:p w14:paraId="32B8C39B" w14:textId="77777777" w:rsidR="00991AE0" w:rsidRDefault="00991AE0" w:rsidP="0099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0E4C" w14:textId="5B94CF44" w:rsidR="00DC1229" w:rsidRDefault="00DC1229" w:rsidP="00DC1229">
    <w:pPr>
      <w:pStyle w:val="Footer"/>
    </w:pPr>
  </w:p>
  <w:tbl>
    <w:tblPr>
      <w:tblW w:w="9851" w:type="dxa"/>
      <w:tblInd w:w="-2115" w:type="dxa"/>
      <w:tblLayout w:type="fixed"/>
      <w:tblLook w:val="04A0" w:firstRow="1" w:lastRow="0" w:firstColumn="1" w:lastColumn="0" w:noHBand="0" w:noVBand="1"/>
    </w:tblPr>
    <w:tblGrid>
      <w:gridCol w:w="2824"/>
      <w:gridCol w:w="2835"/>
      <w:gridCol w:w="2410"/>
      <w:gridCol w:w="1782"/>
    </w:tblGrid>
    <w:tr w:rsidR="00DC1229" w14:paraId="4ADB8201" w14:textId="77777777" w:rsidTr="00131F62">
      <w:trPr>
        <w:trHeight w:val="1275"/>
      </w:trPr>
      <w:tc>
        <w:tcPr>
          <w:tcW w:w="2824" w:type="dxa"/>
          <w:tcBorders>
            <w:right w:val="single" w:sz="4" w:space="0" w:color="D9D9D9"/>
          </w:tcBorders>
        </w:tcPr>
        <w:p w14:paraId="5847309B" w14:textId="77777777" w:rsidR="00DC1229" w:rsidRDefault="00DC1229" w:rsidP="00DC1229">
          <w:pPr>
            <w:spacing w:after="0"/>
          </w:pPr>
          <w:r>
            <w:rPr>
              <w:noProof/>
            </w:rPr>
            <w:drawing>
              <wp:inline distT="0" distB="0" distL="0" distR="0" wp14:anchorId="1448CFEC" wp14:editId="6F8B7EFD">
                <wp:extent cx="1532238" cy="744476"/>
                <wp:effectExtent l="0" t="0" r="0" b="0"/>
                <wp:docPr id="222028888" name="Picture 22202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028888" name="Picture 222028888"/>
                        <pic:cNvPicPr/>
                      </pic:nvPicPr>
                      <pic:blipFill>
                        <a:blip r:embed="rId1">
                          <a:extLst>
                            <a:ext uri="{96DAC541-7B7A-43D3-8B79-37D633B846F1}">
                              <asvg:svgBlip xmlns:asvg="http://schemas.microsoft.com/office/drawing/2016/SVG/main" r:embed="rId2"/>
                            </a:ext>
                          </a:extLst>
                        </a:blip>
                        <a:stretch>
                          <a:fillRect/>
                        </a:stretch>
                      </pic:blipFill>
                      <pic:spPr>
                        <a:xfrm>
                          <a:off x="0" y="0"/>
                          <a:ext cx="1566993" cy="761363"/>
                        </a:xfrm>
                        <a:prstGeom prst="rect">
                          <a:avLst/>
                        </a:prstGeom>
                      </pic:spPr>
                    </pic:pic>
                  </a:graphicData>
                </a:graphic>
              </wp:inline>
            </w:drawing>
          </w:r>
        </w:p>
      </w:tc>
      <w:tc>
        <w:tcPr>
          <w:tcW w:w="2835" w:type="dxa"/>
          <w:tcBorders>
            <w:right w:val="single" w:sz="4" w:space="0" w:color="D9D9D9"/>
          </w:tcBorders>
        </w:tcPr>
        <w:p w14:paraId="77333297" w14:textId="6191B970" w:rsidR="004C2A73" w:rsidRPr="007A4979" w:rsidRDefault="00DC1229" w:rsidP="004C2A73">
          <w:pPr>
            <w:spacing w:after="0"/>
            <w:rPr>
              <w:rFonts w:ascii="Montserrat" w:hAnsi="Montserrat" w:cs="Arial"/>
              <w:sz w:val="16"/>
              <w:szCs w:val="16"/>
            </w:rPr>
          </w:pPr>
          <w:r w:rsidRPr="007A4979">
            <w:rPr>
              <w:rFonts w:ascii="Montserrat" w:hAnsi="Montserrat" w:cs="Arial"/>
              <w:b/>
              <w:bCs/>
              <w:sz w:val="16"/>
              <w:szCs w:val="16"/>
            </w:rPr>
            <w:t>ADRESĂ</w:t>
          </w:r>
        </w:p>
        <w:p w14:paraId="470F9540" w14:textId="77777777" w:rsidR="00EC62BD" w:rsidRPr="007A4979" w:rsidRDefault="00EC62BD" w:rsidP="00EC62BD">
          <w:pPr>
            <w:spacing w:after="0"/>
            <w:rPr>
              <w:rFonts w:ascii="Montserrat" w:hAnsi="Montserrat" w:cs="Arial"/>
              <w:sz w:val="16"/>
              <w:szCs w:val="16"/>
            </w:rPr>
          </w:pPr>
          <w:r w:rsidRPr="007A4979">
            <w:rPr>
              <w:rFonts w:ascii="Montserrat" w:hAnsi="Montserrat" w:cs="Arial"/>
              <w:sz w:val="16"/>
              <w:szCs w:val="16"/>
            </w:rPr>
            <w:t>Bd. Iancu de Hunedoara, nr. 48,</w:t>
          </w:r>
        </w:p>
        <w:p w14:paraId="3BDD9B88" w14:textId="77777777" w:rsidR="00EC62BD" w:rsidRPr="007A4979" w:rsidRDefault="00EC62BD" w:rsidP="00EC62BD">
          <w:pPr>
            <w:spacing w:after="0"/>
            <w:rPr>
              <w:rFonts w:ascii="Montserrat" w:hAnsi="Montserrat" w:cs="Arial"/>
              <w:sz w:val="16"/>
              <w:szCs w:val="16"/>
            </w:rPr>
          </w:pPr>
          <w:proofErr w:type="spellStart"/>
          <w:r w:rsidRPr="007A4979">
            <w:rPr>
              <w:rFonts w:ascii="Montserrat" w:hAnsi="Montserrat" w:cs="Arial"/>
              <w:sz w:val="16"/>
              <w:szCs w:val="16"/>
            </w:rPr>
            <w:t>Clădirea</w:t>
          </w:r>
          <w:proofErr w:type="spellEnd"/>
          <w:r w:rsidRPr="007A4979">
            <w:rPr>
              <w:rFonts w:ascii="Montserrat" w:hAnsi="Montserrat" w:cs="Arial"/>
              <w:sz w:val="16"/>
              <w:szCs w:val="16"/>
            </w:rPr>
            <w:t xml:space="preserve"> Crystal Tower,</w:t>
          </w:r>
        </w:p>
        <w:p w14:paraId="3E209096" w14:textId="3FA47DBC" w:rsidR="00DC1229" w:rsidRPr="00125A8C" w:rsidRDefault="00EC62BD" w:rsidP="00EC62BD">
          <w:pPr>
            <w:spacing w:after="0"/>
            <w:rPr>
              <w:rFonts w:ascii="Arial" w:hAnsi="Arial" w:cs="Arial"/>
            </w:rPr>
          </w:pPr>
          <w:proofErr w:type="spellStart"/>
          <w:r w:rsidRPr="007A4979">
            <w:rPr>
              <w:rFonts w:ascii="Montserrat" w:hAnsi="Montserrat" w:cs="Arial"/>
              <w:sz w:val="16"/>
              <w:szCs w:val="16"/>
            </w:rPr>
            <w:t>etajul</w:t>
          </w:r>
          <w:proofErr w:type="spellEnd"/>
          <w:r w:rsidRPr="007A4979">
            <w:rPr>
              <w:rFonts w:ascii="Montserrat" w:hAnsi="Montserrat" w:cs="Arial"/>
              <w:sz w:val="16"/>
              <w:szCs w:val="16"/>
            </w:rPr>
            <w:t xml:space="preserve"> 6, Sector 1, </w:t>
          </w:r>
          <w:proofErr w:type="spellStart"/>
          <w:r w:rsidRPr="007A4979">
            <w:rPr>
              <w:rFonts w:ascii="Montserrat" w:hAnsi="Montserrat" w:cs="Arial"/>
              <w:sz w:val="16"/>
              <w:szCs w:val="16"/>
            </w:rPr>
            <w:t>București</w:t>
          </w:r>
          <w:proofErr w:type="spellEnd"/>
        </w:p>
      </w:tc>
      <w:tc>
        <w:tcPr>
          <w:tcW w:w="2410" w:type="dxa"/>
          <w:tcBorders>
            <w:right w:val="single" w:sz="4" w:space="0" w:color="D9D9D9"/>
          </w:tcBorders>
        </w:tcPr>
        <w:p w14:paraId="0257A203" w14:textId="13BF1E68" w:rsidR="00DC1229" w:rsidRPr="007A4979" w:rsidRDefault="00DC1229" w:rsidP="00DC1229">
          <w:pPr>
            <w:spacing w:after="0"/>
            <w:rPr>
              <w:rFonts w:ascii="Montserrat" w:hAnsi="Montserrat"/>
              <w:sz w:val="16"/>
              <w:szCs w:val="16"/>
            </w:rPr>
          </w:pPr>
          <w:r w:rsidRPr="007A4979">
            <w:rPr>
              <w:rFonts w:ascii="Montserrat" w:hAnsi="Montserrat" w:cs="Arial"/>
              <w:b/>
              <w:bCs/>
              <w:sz w:val="16"/>
              <w:szCs w:val="16"/>
            </w:rPr>
            <w:t>CONTACT</w:t>
          </w:r>
          <w:r w:rsidRPr="007A4979">
            <w:rPr>
              <w:rFonts w:ascii="Montserrat" w:hAnsi="Montserrat" w:cs="Arial"/>
              <w:sz w:val="16"/>
              <w:szCs w:val="16"/>
            </w:rPr>
            <w:br/>
            <w:t>T +4021 233 59 20/21</w:t>
          </w:r>
          <w:r w:rsidRPr="007A4979">
            <w:rPr>
              <w:rFonts w:ascii="Montserrat" w:hAnsi="Montserrat" w:cs="Arial"/>
              <w:sz w:val="16"/>
              <w:szCs w:val="16"/>
            </w:rPr>
            <w:br/>
            <w:t>F +4021 233 59 82</w:t>
          </w:r>
          <w:r w:rsidRPr="007A4979">
            <w:rPr>
              <w:rFonts w:ascii="Montserrat" w:hAnsi="Montserrat" w:cs="Arial"/>
              <w:sz w:val="16"/>
              <w:szCs w:val="16"/>
            </w:rPr>
            <w:br/>
            <w:t>office@adrem.ro</w:t>
          </w:r>
        </w:p>
      </w:tc>
      <w:tc>
        <w:tcPr>
          <w:tcW w:w="1782" w:type="dxa"/>
        </w:tcPr>
        <w:p w14:paraId="76EF068F" w14:textId="24DD77D7" w:rsidR="00DC1229" w:rsidRPr="007A4979" w:rsidRDefault="00DC1229" w:rsidP="00DC1229">
          <w:pPr>
            <w:spacing w:after="0"/>
            <w:rPr>
              <w:rFonts w:ascii="Montserrat" w:hAnsi="Montserrat"/>
              <w:sz w:val="16"/>
              <w:szCs w:val="16"/>
            </w:rPr>
          </w:pPr>
          <w:r w:rsidRPr="007A4979">
            <w:rPr>
              <w:rFonts w:ascii="Montserrat" w:hAnsi="Montserrat" w:cs="Arial"/>
              <w:b/>
              <w:bCs/>
              <w:color w:val="003399"/>
              <w:sz w:val="16"/>
              <w:szCs w:val="16"/>
            </w:rPr>
            <w:t>ONLINE</w:t>
          </w:r>
          <w:r w:rsidRPr="007A4979">
            <w:rPr>
              <w:rFonts w:ascii="Montserrat" w:hAnsi="Montserrat" w:cs="Arial"/>
              <w:color w:val="003399"/>
              <w:sz w:val="16"/>
              <w:szCs w:val="16"/>
            </w:rPr>
            <w:br/>
            <w:t>www.adrem.ro</w:t>
          </w:r>
          <w:r w:rsidRPr="007A4979">
            <w:rPr>
              <w:rFonts w:ascii="Montserrat" w:hAnsi="Montserrat" w:cs="Arial"/>
              <w:color w:val="003399"/>
              <w:sz w:val="16"/>
              <w:szCs w:val="16"/>
            </w:rPr>
            <w:br/>
          </w:r>
        </w:p>
      </w:tc>
    </w:tr>
  </w:tbl>
  <w:p w14:paraId="1DE08FA1" w14:textId="2EC7D779" w:rsidR="0096595F" w:rsidRDefault="00DC1229" w:rsidP="00DC1229">
    <w:pPr>
      <w:jc w:val="right"/>
    </w:pPr>
    <w:r>
      <w:rPr>
        <w:color w:val="E30613"/>
        <w:sz w:val="20"/>
      </w:rPr>
      <w:t xml:space="preserve">■ </w:t>
    </w: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2671" w14:textId="77777777" w:rsidR="00991AE0" w:rsidRDefault="00991AE0" w:rsidP="00994E18">
      <w:r>
        <w:separator/>
      </w:r>
    </w:p>
  </w:footnote>
  <w:footnote w:type="continuationSeparator" w:id="0">
    <w:p w14:paraId="7D4A8A04" w14:textId="77777777" w:rsidR="00991AE0" w:rsidRDefault="00991AE0" w:rsidP="0099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5531" w14:textId="77777777" w:rsidR="0096595F" w:rsidRDefault="0096595F" w:rsidP="00994E18">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465F11E4" w14:textId="77777777" w:rsidR="0096595F" w:rsidRDefault="0096595F" w:rsidP="00994E18">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920BC" w14:textId="3F45AC92" w:rsidR="0096595F" w:rsidRDefault="004C2A73" w:rsidP="00994E18">
    <w:pPr>
      <w:pStyle w:val="Header"/>
      <w:ind w:firstLine="360"/>
    </w:pPr>
    <w:bookmarkStart w:id="0" w:name="_MacBuGuideStaticData_1820H"/>
    <w:bookmarkStart w:id="1" w:name="_MacBuGuideStaticData_652V"/>
    <w:bookmarkStart w:id="2" w:name="_MacBuGuideStaticData_1140V"/>
    <w:bookmarkStart w:id="3" w:name="_MacBuGuideStaticData_2720H"/>
    <w:r>
      <w:rPr>
        <w:noProof/>
      </w:rPr>
      <w:drawing>
        <wp:anchor distT="0" distB="0" distL="114300" distR="114300" simplePos="0" relativeHeight="251658240" behindDoc="0" locked="0" layoutInCell="1" allowOverlap="1" wp14:anchorId="325817B8" wp14:editId="08EAF261">
          <wp:simplePos x="0" y="0"/>
          <wp:positionH relativeFrom="column">
            <wp:posOffset>-1276350</wp:posOffset>
          </wp:positionH>
          <wp:positionV relativeFrom="paragraph">
            <wp:posOffset>464185</wp:posOffset>
          </wp:positionV>
          <wp:extent cx="1464945" cy="398780"/>
          <wp:effectExtent l="0" t="0" r="1905" b="1270"/>
          <wp:wrapThrough wrapText="bothSides">
            <wp:wrapPolygon edited="0">
              <wp:start x="3651" y="0"/>
              <wp:lineTo x="2528" y="7223"/>
              <wp:lineTo x="0" y="18573"/>
              <wp:lineTo x="0" y="20637"/>
              <wp:lineTo x="21347" y="20637"/>
              <wp:lineTo x="21347" y="9287"/>
              <wp:lineTo x="19100" y="7223"/>
              <wp:lineTo x="6179" y="0"/>
              <wp:lineTo x="3651" y="0"/>
            </wp:wrapPolygon>
          </wp:wrapThrough>
          <wp:docPr id="4318215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821581" name="Picture 2"/>
                  <pic:cNvPicPr/>
                </pic:nvPicPr>
                <pic:blipFill>
                  <a:blip r:embed="rId1"/>
                  <a:stretch>
                    <a:fillRect/>
                  </a:stretch>
                </pic:blipFill>
                <pic:spPr>
                  <a:xfrm>
                    <a:off x="0" y="0"/>
                    <a:ext cx="1464945" cy="39878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1E57"/>
    <w:multiLevelType w:val="hybridMultilevel"/>
    <w:tmpl w:val="3C7488C0"/>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22" w:hanging="360"/>
      </w:pPr>
      <w:rPr>
        <w:rFonts w:ascii="Courier New" w:hAnsi="Courier New" w:cs="Courier New" w:hint="default"/>
      </w:rPr>
    </w:lvl>
    <w:lvl w:ilvl="2" w:tplc="04090005" w:tentative="1">
      <w:start w:val="1"/>
      <w:numFmt w:val="bullet"/>
      <w:lvlText w:val=""/>
      <w:lvlJc w:val="left"/>
      <w:pPr>
        <w:ind w:left="742" w:hanging="360"/>
      </w:pPr>
      <w:rPr>
        <w:rFonts w:ascii="Wingdings" w:hAnsi="Wingdings" w:hint="default"/>
      </w:rPr>
    </w:lvl>
    <w:lvl w:ilvl="3" w:tplc="04090001" w:tentative="1">
      <w:start w:val="1"/>
      <w:numFmt w:val="bullet"/>
      <w:lvlText w:val=""/>
      <w:lvlJc w:val="left"/>
      <w:pPr>
        <w:ind w:left="1462" w:hanging="360"/>
      </w:pPr>
      <w:rPr>
        <w:rFonts w:ascii="Symbol" w:hAnsi="Symbol" w:hint="default"/>
      </w:rPr>
    </w:lvl>
    <w:lvl w:ilvl="4" w:tplc="04090003" w:tentative="1">
      <w:start w:val="1"/>
      <w:numFmt w:val="bullet"/>
      <w:lvlText w:val="o"/>
      <w:lvlJc w:val="left"/>
      <w:pPr>
        <w:ind w:left="2182" w:hanging="360"/>
      </w:pPr>
      <w:rPr>
        <w:rFonts w:ascii="Courier New" w:hAnsi="Courier New" w:cs="Courier New" w:hint="default"/>
      </w:rPr>
    </w:lvl>
    <w:lvl w:ilvl="5" w:tplc="04090005" w:tentative="1">
      <w:start w:val="1"/>
      <w:numFmt w:val="bullet"/>
      <w:lvlText w:val=""/>
      <w:lvlJc w:val="left"/>
      <w:pPr>
        <w:ind w:left="2902" w:hanging="360"/>
      </w:pPr>
      <w:rPr>
        <w:rFonts w:ascii="Wingdings" w:hAnsi="Wingdings" w:hint="default"/>
      </w:rPr>
    </w:lvl>
    <w:lvl w:ilvl="6" w:tplc="04090001" w:tentative="1">
      <w:start w:val="1"/>
      <w:numFmt w:val="bullet"/>
      <w:lvlText w:val=""/>
      <w:lvlJc w:val="left"/>
      <w:pPr>
        <w:ind w:left="3622" w:hanging="360"/>
      </w:pPr>
      <w:rPr>
        <w:rFonts w:ascii="Symbol" w:hAnsi="Symbol" w:hint="default"/>
      </w:rPr>
    </w:lvl>
    <w:lvl w:ilvl="7" w:tplc="04090003" w:tentative="1">
      <w:start w:val="1"/>
      <w:numFmt w:val="bullet"/>
      <w:lvlText w:val="o"/>
      <w:lvlJc w:val="left"/>
      <w:pPr>
        <w:ind w:left="4342" w:hanging="360"/>
      </w:pPr>
      <w:rPr>
        <w:rFonts w:ascii="Courier New" w:hAnsi="Courier New" w:cs="Courier New" w:hint="default"/>
      </w:rPr>
    </w:lvl>
    <w:lvl w:ilvl="8" w:tplc="04090005" w:tentative="1">
      <w:start w:val="1"/>
      <w:numFmt w:val="bullet"/>
      <w:lvlText w:val=""/>
      <w:lvlJc w:val="left"/>
      <w:pPr>
        <w:ind w:left="5062" w:hanging="360"/>
      </w:pPr>
      <w:rPr>
        <w:rFonts w:ascii="Wingdings" w:hAnsi="Wingdings" w:hint="default"/>
      </w:rPr>
    </w:lvl>
  </w:abstractNum>
  <w:abstractNum w:abstractNumId="1" w15:restartNumberingAfterBreak="0">
    <w:nsid w:val="265673A1"/>
    <w:multiLevelType w:val="hybridMultilevel"/>
    <w:tmpl w:val="812038D4"/>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0F078AF"/>
    <w:multiLevelType w:val="hybridMultilevel"/>
    <w:tmpl w:val="594C1AEC"/>
    <w:lvl w:ilvl="0" w:tplc="439E65E2">
      <w:start w:val="1"/>
      <w:numFmt w:val="bullet"/>
      <w:lvlText w:val="•"/>
      <w:lvlJc w:val="left"/>
      <w:pPr>
        <w:tabs>
          <w:tab w:val="num" w:pos="720"/>
        </w:tabs>
        <w:ind w:left="720" w:hanging="360"/>
      </w:pPr>
      <w:rPr>
        <w:rFonts w:ascii="Arial" w:hAnsi="Arial" w:hint="default"/>
      </w:rPr>
    </w:lvl>
    <w:lvl w:ilvl="1" w:tplc="05B8AA04" w:tentative="1">
      <w:start w:val="1"/>
      <w:numFmt w:val="bullet"/>
      <w:lvlText w:val="•"/>
      <w:lvlJc w:val="left"/>
      <w:pPr>
        <w:tabs>
          <w:tab w:val="num" w:pos="1440"/>
        </w:tabs>
        <w:ind w:left="1440" w:hanging="360"/>
      </w:pPr>
      <w:rPr>
        <w:rFonts w:ascii="Arial" w:hAnsi="Arial" w:hint="default"/>
      </w:rPr>
    </w:lvl>
    <w:lvl w:ilvl="2" w:tplc="E67838EC" w:tentative="1">
      <w:start w:val="1"/>
      <w:numFmt w:val="bullet"/>
      <w:lvlText w:val="•"/>
      <w:lvlJc w:val="left"/>
      <w:pPr>
        <w:tabs>
          <w:tab w:val="num" w:pos="2160"/>
        </w:tabs>
        <w:ind w:left="2160" w:hanging="360"/>
      </w:pPr>
      <w:rPr>
        <w:rFonts w:ascii="Arial" w:hAnsi="Arial" w:hint="default"/>
      </w:rPr>
    </w:lvl>
    <w:lvl w:ilvl="3" w:tplc="3922151E" w:tentative="1">
      <w:start w:val="1"/>
      <w:numFmt w:val="bullet"/>
      <w:lvlText w:val="•"/>
      <w:lvlJc w:val="left"/>
      <w:pPr>
        <w:tabs>
          <w:tab w:val="num" w:pos="2880"/>
        </w:tabs>
        <w:ind w:left="2880" w:hanging="360"/>
      </w:pPr>
      <w:rPr>
        <w:rFonts w:ascii="Arial" w:hAnsi="Arial" w:hint="default"/>
      </w:rPr>
    </w:lvl>
    <w:lvl w:ilvl="4" w:tplc="8D102374" w:tentative="1">
      <w:start w:val="1"/>
      <w:numFmt w:val="bullet"/>
      <w:lvlText w:val="•"/>
      <w:lvlJc w:val="left"/>
      <w:pPr>
        <w:tabs>
          <w:tab w:val="num" w:pos="3600"/>
        </w:tabs>
        <w:ind w:left="3600" w:hanging="360"/>
      </w:pPr>
      <w:rPr>
        <w:rFonts w:ascii="Arial" w:hAnsi="Arial" w:hint="default"/>
      </w:rPr>
    </w:lvl>
    <w:lvl w:ilvl="5" w:tplc="64CE94CE" w:tentative="1">
      <w:start w:val="1"/>
      <w:numFmt w:val="bullet"/>
      <w:lvlText w:val="•"/>
      <w:lvlJc w:val="left"/>
      <w:pPr>
        <w:tabs>
          <w:tab w:val="num" w:pos="4320"/>
        </w:tabs>
        <w:ind w:left="4320" w:hanging="360"/>
      </w:pPr>
      <w:rPr>
        <w:rFonts w:ascii="Arial" w:hAnsi="Arial" w:hint="default"/>
      </w:rPr>
    </w:lvl>
    <w:lvl w:ilvl="6" w:tplc="1C5E8BFC" w:tentative="1">
      <w:start w:val="1"/>
      <w:numFmt w:val="bullet"/>
      <w:lvlText w:val="•"/>
      <w:lvlJc w:val="left"/>
      <w:pPr>
        <w:tabs>
          <w:tab w:val="num" w:pos="5040"/>
        </w:tabs>
        <w:ind w:left="5040" w:hanging="360"/>
      </w:pPr>
      <w:rPr>
        <w:rFonts w:ascii="Arial" w:hAnsi="Arial" w:hint="default"/>
      </w:rPr>
    </w:lvl>
    <w:lvl w:ilvl="7" w:tplc="BA1A2C38" w:tentative="1">
      <w:start w:val="1"/>
      <w:numFmt w:val="bullet"/>
      <w:lvlText w:val="•"/>
      <w:lvlJc w:val="left"/>
      <w:pPr>
        <w:tabs>
          <w:tab w:val="num" w:pos="5760"/>
        </w:tabs>
        <w:ind w:left="5760" w:hanging="360"/>
      </w:pPr>
      <w:rPr>
        <w:rFonts w:ascii="Arial" w:hAnsi="Arial" w:hint="default"/>
      </w:rPr>
    </w:lvl>
    <w:lvl w:ilvl="8" w:tplc="D988B4AA" w:tentative="1">
      <w:start w:val="1"/>
      <w:numFmt w:val="bullet"/>
      <w:lvlText w:val="•"/>
      <w:lvlJc w:val="left"/>
      <w:pPr>
        <w:tabs>
          <w:tab w:val="num" w:pos="6480"/>
        </w:tabs>
        <w:ind w:left="6480" w:hanging="360"/>
      </w:pPr>
      <w:rPr>
        <w:rFonts w:ascii="Arial" w:hAnsi="Arial" w:hint="default"/>
      </w:rPr>
    </w:lvl>
  </w:abstractNum>
  <w:num w:numId="1" w16cid:durableId="1500846952">
    <w:abstractNumId w:val="2"/>
  </w:num>
  <w:num w:numId="2" w16cid:durableId="92937227">
    <w:abstractNumId w:val="1"/>
  </w:num>
  <w:num w:numId="3" w16cid:durableId="1336222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GNMaNu7IVAvo39NKHVRk0fvI0SkRZm2vJTMWix2mcm8Cu3hOPFoWfLGMXiaE+Z26V+0Pf7ZkKeukg8BE0WZKXQ==" w:salt="YgoYfFPJT7L8wrX+vH8wF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96595F"/>
    <w:rsid w:val="00041E46"/>
    <w:rsid w:val="000439A9"/>
    <w:rsid w:val="00054FA3"/>
    <w:rsid w:val="000907B3"/>
    <w:rsid w:val="0011593D"/>
    <w:rsid w:val="001230FF"/>
    <w:rsid w:val="00131F62"/>
    <w:rsid w:val="00143515"/>
    <w:rsid w:val="00152178"/>
    <w:rsid w:val="00161483"/>
    <w:rsid w:val="00174152"/>
    <w:rsid w:val="001B3FB0"/>
    <w:rsid w:val="0020275C"/>
    <w:rsid w:val="00210A1A"/>
    <w:rsid w:val="0021529C"/>
    <w:rsid w:val="00231E88"/>
    <w:rsid w:val="00245056"/>
    <w:rsid w:val="002968C7"/>
    <w:rsid w:val="002B22EF"/>
    <w:rsid w:val="0031712A"/>
    <w:rsid w:val="003275EC"/>
    <w:rsid w:val="00354469"/>
    <w:rsid w:val="003C249E"/>
    <w:rsid w:val="003D65B1"/>
    <w:rsid w:val="00413ADD"/>
    <w:rsid w:val="00413DE6"/>
    <w:rsid w:val="00464E78"/>
    <w:rsid w:val="00480A45"/>
    <w:rsid w:val="004C2A73"/>
    <w:rsid w:val="004C51B6"/>
    <w:rsid w:val="00520293"/>
    <w:rsid w:val="00530235"/>
    <w:rsid w:val="00544BA4"/>
    <w:rsid w:val="00594CED"/>
    <w:rsid w:val="005A7586"/>
    <w:rsid w:val="005C61A7"/>
    <w:rsid w:val="005F04EA"/>
    <w:rsid w:val="00641203"/>
    <w:rsid w:val="006A2C85"/>
    <w:rsid w:val="00744B78"/>
    <w:rsid w:val="00745860"/>
    <w:rsid w:val="0076093A"/>
    <w:rsid w:val="007A4979"/>
    <w:rsid w:val="007D6662"/>
    <w:rsid w:val="007E32B1"/>
    <w:rsid w:val="00851E50"/>
    <w:rsid w:val="00880779"/>
    <w:rsid w:val="00890CA5"/>
    <w:rsid w:val="0089647F"/>
    <w:rsid w:val="008B2D8F"/>
    <w:rsid w:val="008D160D"/>
    <w:rsid w:val="009259D3"/>
    <w:rsid w:val="0096595F"/>
    <w:rsid w:val="00965D92"/>
    <w:rsid w:val="00981307"/>
    <w:rsid w:val="00991AE0"/>
    <w:rsid w:val="00994E18"/>
    <w:rsid w:val="00995099"/>
    <w:rsid w:val="009C534E"/>
    <w:rsid w:val="009D3399"/>
    <w:rsid w:val="00A45D89"/>
    <w:rsid w:val="00A56164"/>
    <w:rsid w:val="00A72525"/>
    <w:rsid w:val="00A8239C"/>
    <w:rsid w:val="00AD4455"/>
    <w:rsid w:val="00AF657B"/>
    <w:rsid w:val="00B43647"/>
    <w:rsid w:val="00B75F7B"/>
    <w:rsid w:val="00B7682E"/>
    <w:rsid w:val="00BA3F51"/>
    <w:rsid w:val="00C21DF7"/>
    <w:rsid w:val="00CB377B"/>
    <w:rsid w:val="00CD292C"/>
    <w:rsid w:val="00CF53FA"/>
    <w:rsid w:val="00DC1229"/>
    <w:rsid w:val="00DE51BA"/>
    <w:rsid w:val="00E45FC2"/>
    <w:rsid w:val="00E71819"/>
    <w:rsid w:val="00E72449"/>
    <w:rsid w:val="00E833C5"/>
    <w:rsid w:val="00EA0F12"/>
    <w:rsid w:val="00EB6123"/>
    <w:rsid w:val="00EC62BD"/>
    <w:rsid w:val="00EE3FBA"/>
    <w:rsid w:val="00F0261A"/>
    <w:rsid w:val="00F61E10"/>
    <w:rsid w:val="00FB49AC"/>
    <w:rsid w:val="00FB62BA"/>
    <w:rsid w:val="00FC3C04"/>
    <w:rsid w:val="00FD7B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D7DE81"/>
  <w14:defaultImageDpi w14:val="300"/>
  <w15:docId w15:val="{A06ED2CB-9361-488C-B175-13D8C3E25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60D"/>
    <w:pPr>
      <w:spacing w:after="160" w:line="259"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4E18"/>
    <w:pPr>
      <w:tabs>
        <w:tab w:val="center" w:pos="4320"/>
        <w:tab w:val="right" w:pos="8640"/>
      </w:tabs>
    </w:pPr>
  </w:style>
  <w:style w:type="character" w:customStyle="1" w:styleId="HeaderChar">
    <w:name w:val="Header Char"/>
    <w:basedOn w:val="DefaultParagraphFont"/>
    <w:link w:val="Header"/>
    <w:uiPriority w:val="99"/>
    <w:rsid w:val="00994E18"/>
  </w:style>
  <w:style w:type="paragraph" w:styleId="Footer">
    <w:name w:val="footer"/>
    <w:basedOn w:val="Normal"/>
    <w:link w:val="FooterChar"/>
    <w:uiPriority w:val="99"/>
    <w:unhideWhenUsed/>
    <w:rsid w:val="00994E18"/>
    <w:pPr>
      <w:tabs>
        <w:tab w:val="center" w:pos="4320"/>
        <w:tab w:val="right" w:pos="8640"/>
      </w:tabs>
    </w:pPr>
  </w:style>
  <w:style w:type="character" w:customStyle="1" w:styleId="FooterChar">
    <w:name w:val="Footer Char"/>
    <w:basedOn w:val="DefaultParagraphFont"/>
    <w:link w:val="Footer"/>
    <w:uiPriority w:val="99"/>
    <w:rsid w:val="00994E18"/>
  </w:style>
  <w:style w:type="character" w:styleId="PageNumber">
    <w:name w:val="page number"/>
    <w:basedOn w:val="DefaultParagraphFont"/>
    <w:uiPriority w:val="99"/>
    <w:semiHidden/>
    <w:unhideWhenUsed/>
    <w:rsid w:val="00994E18"/>
  </w:style>
  <w:style w:type="character" w:styleId="Hyperlink">
    <w:name w:val="Hyperlink"/>
    <w:basedOn w:val="DefaultParagraphFont"/>
    <w:uiPriority w:val="99"/>
    <w:unhideWhenUsed/>
    <w:rsid w:val="00AD4455"/>
    <w:rPr>
      <w:color w:val="0000FF" w:themeColor="hyperlink"/>
      <w:u w:val="single"/>
    </w:rPr>
  </w:style>
  <w:style w:type="character" w:styleId="UnresolvedMention">
    <w:name w:val="Unresolved Mention"/>
    <w:basedOn w:val="DefaultParagraphFont"/>
    <w:uiPriority w:val="99"/>
    <w:semiHidden/>
    <w:unhideWhenUsed/>
    <w:rsid w:val="00AD4455"/>
    <w:rPr>
      <w:color w:val="605E5C"/>
      <w:shd w:val="clear" w:color="auto" w:fill="E1DFDD"/>
    </w:rPr>
  </w:style>
  <w:style w:type="paragraph" w:styleId="ListParagraph">
    <w:name w:val="List Paragraph"/>
    <w:basedOn w:val="Normal"/>
    <w:uiPriority w:val="34"/>
    <w:qFormat/>
    <w:rsid w:val="00F61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501554">
      <w:bodyDiv w:val="1"/>
      <w:marLeft w:val="0"/>
      <w:marRight w:val="0"/>
      <w:marTop w:val="0"/>
      <w:marBottom w:val="0"/>
      <w:divBdr>
        <w:top w:val="none" w:sz="0" w:space="0" w:color="auto"/>
        <w:left w:val="none" w:sz="0" w:space="0" w:color="auto"/>
        <w:bottom w:val="none" w:sz="0" w:space="0" w:color="auto"/>
        <w:right w:val="none" w:sz="0" w:space="0" w:color="auto"/>
      </w:divBdr>
    </w:div>
    <w:div w:id="15596269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bwMode="auto">
        <a:noFill/>
        <a:ln>
          <a:noFill/>
        </a:ln>
        <a:extLst>
          <a:ext uri="{909E8E84-426E-40dd-AFC4-6F175D3DCCD1}">
            <a14:hiddenFill xmlns:a14="http://schemas.microsoft.com/office/drawing/2010/main" xmlns="">
              <a:solidFill>
                <a:srgbClr val="999999"/>
              </a:solidFill>
            </a14:hiddenFill>
          </a:ext>
          <a:ext uri="{91240B29-F687-4f45-9708-019B960494DF}">
            <a14:hiddenLine xmlns:a14="http://schemas.microsoft.com/office/drawing/2010/main" xmlns="" w="9525">
              <a:solidFill>
                <a:srgbClr val="000000"/>
              </a:solidFill>
              <a:miter lim="800000"/>
              <a:headEnd/>
              <a:tailEnd/>
            </a14:hiddenLine>
          </a:ext>
          <a:ext uri="{C572A759-6A51-4108-AA02-DFA0A04FC94B}">
            <ma14:wrappingTextBoxFlag xmlns:ma14="http://schemas.microsoft.com/office/mac/drawingml/2011/main" xmlns="" val="1"/>
          </a:ext>
        </a:extLst>
      </a:spPr>
      <a:bodyPr rot="0" vert="horz" wrap="square" lIns="0" tIns="0" rIns="0" bIns="0" anchor="t" anchorCtr="0" upright="1">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389</Words>
  <Characters>2222</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Andreea Cogan</cp:lastModifiedBy>
  <cp:revision>13</cp:revision>
  <dcterms:created xsi:type="dcterms:W3CDTF">2026-06-02T08:24:00Z</dcterms:created>
  <dcterms:modified xsi:type="dcterms:W3CDTF">2026-06-03T11:08:00Z</dcterms:modified>
  <cp:category/>
</cp:coreProperties>
</file>